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5D60F299"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 </w:t>
      </w:r>
      <w:r w:rsidR="00382493">
        <w:rPr>
          <w:rFonts w:ascii="Arial" w:hAnsi="Arial" w:cs="Arial"/>
          <w:b/>
          <w:bCs/>
          <w:sz w:val="28"/>
          <w:szCs w:val="28"/>
        </w:rPr>
        <w:t>Safeguarding</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65D99F2B"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Some members of society are recognised as needing protection, for example children and </w:t>
            </w:r>
          </w:p>
          <w:p w14:paraId="68BC180C"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vulnerable adults. If a person is identified as being at risk of harm we are expected, as </w:t>
            </w:r>
          </w:p>
          <w:p w14:paraId="12F385FD"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professionals, to do what we can to protect them. In addition we are bound by certain </w:t>
            </w:r>
          </w:p>
          <w:p w14:paraId="2367F787"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specific laws that exist to protect individuals. This is called “Safeguarding”. </w:t>
            </w:r>
          </w:p>
          <w:p w14:paraId="53E22E02" w14:textId="77777777" w:rsidR="00382493" w:rsidRDefault="00382493" w:rsidP="00382493">
            <w:pPr>
              <w:pStyle w:val="NormalWeb"/>
              <w:spacing w:before="0" w:beforeAutospacing="0" w:after="0" w:afterAutospacing="0"/>
              <w:rPr>
                <w:rFonts w:ascii="Arial" w:hAnsi="Arial" w:cs="Arial"/>
              </w:rPr>
            </w:pPr>
          </w:p>
          <w:p w14:paraId="668FCDDB" w14:textId="64D17E2B"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Where there is a suspected or actual safeguarding issue we will share significant information </w:t>
            </w:r>
          </w:p>
          <w:p w14:paraId="35D94644"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that we hold with other relevant agencies, whether or not the individual or their </w:t>
            </w:r>
          </w:p>
          <w:p w14:paraId="6B697445"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representative agrees. </w:t>
            </w:r>
          </w:p>
          <w:p w14:paraId="0D0DF8DE" w14:textId="77777777" w:rsidR="00382493" w:rsidRDefault="00382493" w:rsidP="00382493">
            <w:pPr>
              <w:pStyle w:val="NormalWeb"/>
              <w:spacing w:before="0" w:beforeAutospacing="0" w:after="0" w:afterAutospacing="0"/>
              <w:rPr>
                <w:rFonts w:ascii="Arial" w:hAnsi="Arial" w:cs="Arial"/>
              </w:rPr>
            </w:pPr>
          </w:p>
          <w:p w14:paraId="479E658A" w14:textId="270BDC45"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There are three laws that allow us to do this without relying on the individual or their </w:t>
            </w:r>
          </w:p>
          <w:p w14:paraId="22AA3D52"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representatives’ agreement (unconsented processing). These are:</w:t>
            </w:r>
          </w:p>
          <w:p w14:paraId="14461B0A" w14:textId="12B6365C" w:rsidR="00382493" w:rsidRPr="00382493" w:rsidRDefault="00382493" w:rsidP="00382493">
            <w:pPr>
              <w:pStyle w:val="NormalWeb"/>
              <w:numPr>
                <w:ilvl w:val="0"/>
                <w:numId w:val="16"/>
              </w:numPr>
              <w:spacing w:before="0" w:beforeAutospacing="0" w:after="0" w:afterAutospacing="0"/>
              <w:rPr>
                <w:rFonts w:ascii="Arial" w:hAnsi="Arial" w:cs="Arial"/>
              </w:rPr>
            </w:pPr>
            <w:r w:rsidRPr="00382493">
              <w:rPr>
                <w:rFonts w:ascii="Arial" w:hAnsi="Arial" w:cs="Arial"/>
              </w:rPr>
              <w:t>Section 47 of the Children Act 1989</w:t>
            </w:r>
            <w:r>
              <w:rPr>
                <w:rFonts w:ascii="Arial" w:hAnsi="Arial" w:cs="Arial"/>
              </w:rPr>
              <w:t xml:space="preserve"> </w:t>
            </w:r>
            <w:r w:rsidRPr="00382493">
              <w:rPr>
                <w:rFonts w:ascii="Arial" w:hAnsi="Arial" w:cs="Arial"/>
              </w:rPr>
              <w:t>(</w:t>
            </w:r>
            <w:hyperlink r:id="rId10" w:history="1">
              <w:r w:rsidRPr="006C00DD">
                <w:rPr>
                  <w:rStyle w:val="Hyperlink"/>
                  <w:rFonts w:ascii="Arial" w:hAnsi="Arial" w:cs="Arial"/>
                </w:rPr>
                <w:t>https://www.legislation.gov.uk/ukpga/1989/41/section/47</w:t>
              </w:r>
            </w:hyperlink>
            <w:r w:rsidRPr="00382493">
              <w:rPr>
                <w:rFonts w:ascii="Arial" w:hAnsi="Arial" w:cs="Arial"/>
              </w:rPr>
              <w:t>)</w:t>
            </w:r>
            <w:r>
              <w:rPr>
                <w:rFonts w:ascii="Arial" w:hAnsi="Arial" w:cs="Arial"/>
              </w:rPr>
              <w:t xml:space="preserve"> </w:t>
            </w:r>
            <w:r w:rsidRPr="00382493">
              <w:rPr>
                <w:rFonts w:ascii="Arial" w:hAnsi="Arial" w:cs="Arial"/>
              </w:rPr>
              <w:t xml:space="preserve">, </w:t>
            </w:r>
          </w:p>
          <w:p w14:paraId="21CFDCF9" w14:textId="77777777" w:rsidR="00382493" w:rsidRDefault="00382493" w:rsidP="00382493">
            <w:pPr>
              <w:pStyle w:val="NormalWeb"/>
              <w:numPr>
                <w:ilvl w:val="0"/>
                <w:numId w:val="16"/>
              </w:numPr>
              <w:spacing w:before="0" w:beforeAutospacing="0" w:after="0" w:afterAutospacing="0"/>
              <w:rPr>
                <w:rFonts w:ascii="Arial" w:hAnsi="Arial" w:cs="Arial"/>
              </w:rPr>
            </w:pPr>
            <w:r w:rsidRPr="00382493">
              <w:rPr>
                <w:rFonts w:ascii="Arial" w:hAnsi="Arial" w:cs="Arial"/>
              </w:rPr>
              <w:t>Section 29 of the Data Protection Act (prevention of crime)</w:t>
            </w:r>
          </w:p>
          <w:p w14:paraId="3E7921FD" w14:textId="65B5CFB3" w:rsidR="00382493" w:rsidRPr="00382493" w:rsidRDefault="00382493" w:rsidP="00382493">
            <w:pPr>
              <w:pStyle w:val="NormalWeb"/>
              <w:spacing w:before="0" w:beforeAutospacing="0" w:after="0" w:afterAutospacing="0"/>
              <w:ind w:left="720"/>
              <w:rPr>
                <w:rFonts w:ascii="Arial" w:hAnsi="Arial" w:cs="Arial"/>
              </w:rPr>
            </w:pPr>
            <w:hyperlink r:id="rId11" w:history="1">
              <w:r w:rsidRPr="006C00DD">
                <w:rPr>
                  <w:rStyle w:val="Hyperlink"/>
                  <w:rFonts w:ascii="Arial" w:hAnsi="Arial" w:cs="Arial"/>
                </w:rPr>
                <w:t>https://www.legislation.gov.uk/ukpga/1998/29/section/29</w:t>
              </w:r>
            </w:hyperlink>
            <w:r>
              <w:rPr>
                <w:rFonts w:ascii="Arial" w:hAnsi="Arial" w:cs="Arial"/>
              </w:rPr>
              <w:t xml:space="preserve"> </w:t>
            </w:r>
            <w:r w:rsidRPr="00382493">
              <w:rPr>
                <w:rFonts w:ascii="Arial" w:hAnsi="Arial" w:cs="Arial"/>
              </w:rPr>
              <w:t xml:space="preserve"> </w:t>
            </w:r>
          </w:p>
          <w:p w14:paraId="1F29B5BE" w14:textId="7E33E49B" w:rsidR="00382493" w:rsidRPr="00382493" w:rsidRDefault="00382493" w:rsidP="00382493">
            <w:pPr>
              <w:pStyle w:val="NormalWeb"/>
              <w:numPr>
                <w:ilvl w:val="0"/>
                <w:numId w:val="16"/>
              </w:numPr>
              <w:spacing w:before="0" w:beforeAutospacing="0" w:after="0" w:afterAutospacing="0"/>
              <w:rPr>
                <w:rFonts w:ascii="Arial" w:hAnsi="Arial" w:cs="Arial"/>
              </w:rPr>
            </w:pPr>
            <w:r w:rsidRPr="00382493">
              <w:rPr>
                <w:rFonts w:ascii="Arial" w:hAnsi="Arial" w:cs="Arial"/>
              </w:rPr>
              <w:t>Section 45 of the Care Act 2014</w:t>
            </w:r>
            <w:r>
              <w:rPr>
                <w:rFonts w:ascii="Arial" w:hAnsi="Arial" w:cs="Arial"/>
              </w:rPr>
              <w:t xml:space="preserve"> </w:t>
            </w:r>
            <w:hyperlink r:id="rId12" w:history="1">
              <w:r w:rsidRPr="006C00DD">
                <w:rPr>
                  <w:rStyle w:val="Hyperlink"/>
                  <w:rFonts w:ascii="Arial" w:hAnsi="Arial" w:cs="Arial"/>
                </w:rPr>
                <w:t>http://www.legislation.gov.uk/ukpga/2014/23/section/45/enacted</w:t>
              </w:r>
            </w:hyperlink>
            <w:r>
              <w:rPr>
                <w:rFonts w:ascii="Arial" w:hAnsi="Arial" w:cs="Arial"/>
              </w:rPr>
              <w:t xml:space="preserve"> </w:t>
            </w:r>
          </w:p>
          <w:p w14:paraId="577C45FE" w14:textId="77777777" w:rsidR="00382493" w:rsidRDefault="00382493" w:rsidP="00382493">
            <w:pPr>
              <w:pStyle w:val="NormalWeb"/>
              <w:spacing w:before="0" w:beforeAutospacing="0" w:after="0" w:afterAutospacing="0"/>
              <w:rPr>
                <w:rFonts w:ascii="Arial" w:hAnsi="Arial" w:cs="Arial"/>
              </w:rPr>
            </w:pPr>
          </w:p>
          <w:p w14:paraId="1E2E0434" w14:textId="27D5FDF4"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In addition there are circumstances when we will seek the agreement (consented processing) </w:t>
            </w:r>
          </w:p>
          <w:p w14:paraId="666411FC"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 xml:space="preserve">of the individual or their representative to share information with local child protection </w:t>
            </w:r>
          </w:p>
          <w:p w14:paraId="2812DB3F" w14:textId="77777777" w:rsidR="00382493" w:rsidRPr="00382493" w:rsidRDefault="00382493" w:rsidP="00382493">
            <w:pPr>
              <w:pStyle w:val="NormalWeb"/>
              <w:spacing w:before="0" w:beforeAutospacing="0" w:after="0" w:afterAutospacing="0"/>
              <w:rPr>
                <w:rFonts w:ascii="Arial" w:hAnsi="Arial" w:cs="Arial"/>
              </w:rPr>
            </w:pPr>
            <w:r w:rsidRPr="00382493">
              <w:rPr>
                <w:rFonts w:ascii="Arial" w:hAnsi="Arial" w:cs="Arial"/>
              </w:rPr>
              <w:t>services, under section 17 of the Children Act 1989</w:t>
            </w:r>
          </w:p>
          <w:p w14:paraId="42DB9044" w14:textId="77777777" w:rsidR="0002160F" w:rsidRDefault="00382493" w:rsidP="00382493">
            <w:pPr>
              <w:pStyle w:val="NormalWeb"/>
              <w:spacing w:before="0" w:beforeAutospacing="0" w:after="0" w:afterAutospacing="0"/>
              <w:rPr>
                <w:rFonts w:ascii="Arial" w:hAnsi="Arial" w:cs="Arial"/>
              </w:rPr>
            </w:pPr>
            <w:hyperlink r:id="rId13" w:history="1">
              <w:r w:rsidRPr="006C00DD">
                <w:rPr>
                  <w:rStyle w:val="Hyperlink"/>
                  <w:rFonts w:ascii="Arial" w:hAnsi="Arial" w:cs="Arial"/>
                </w:rPr>
                <w:t>https://www.legislation.gov.uk/ukpga/1989/41/section/17</w:t>
              </w:r>
            </w:hyperlink>
            <w:r>
              <w:rPr>
                <w:rFonts w:ascii="Arial" w:hAnsi="Arial" w:cs="Arial"/>
              </w:rPr>
              <w:t xml:space="preserve"> </w:t>
            </w:r>
          </w:p>
          <w:p w14:paraId="34B69209" w14:textId="563DE82C" w:rsidR="00382493" w:rsidRPr="0002160F" w:rsidRDefault="00382493" w:rsidP="00382493">
            <w:pPr>
              <w:pStyle w:val="NormalWeb"/>
              <w:spacing w:before="0" w:beforeAutospacing="0" w:after="0" w:afterAutospacing="0"/>
              <w:rPr>
                <w:rFonts w:ascii="Arial" w:hAnsi="Arial" w:cs="Arial"/>
                <w:u w:val="single"/>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1833"/>
        <w:gridCol w:w="8510"/>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4"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5"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51C6CD97" w14:textId="27B5B94E" w:rsidR="001F1448" w:rsidRPr="002B60B4" w:rsidRDefault="001F1448" w:rsidP="001F1448">
            <w:pPr>
              <w:rPr>
                <w:rFonts w:ascii="Arial" w:hAnsi="Arial" w:cs="Arial"/>
                <w:sz w:val="24"/>
                <w:szCs w:val="24"/>
              </w:rPr>
            </w:pPr>
            <w:r>
              <w:rPr>
                <w:rFonts w:ascii="Arial" w:hAnsi="Arial" w:cs="Arial"/>
                <w:sz w:val="24"/>
                <w:szCs w:val="24"/>
              </w:rPr>
              <w:t>T</w:t>
            </w:r>
            <w:r w:rsidRPr="001F1448">
              <w:rPr>
                <w:rFonts w:ascii="Arial" w:hAnsi="Arial" w:cs="Arial"/>
                <w:sz w:val="24"/>
                <w:szCs w:val="24"/>
              </w:rPr>
              <w:t>he purpose of the processing is to protect the child or vulnerable adult.</w:t>
            </w: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lastRenderedPageBreak/>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4AEA2690" w14:textId="77777777" w:rsidR="001F1448" w:rsidRDefault="001F1448" w:rsidP="001F1448">
            <w:pPr>
              <w:rPr>
                <w:rFonts w:ascii="Arial" w:hAnsi="Arial" w:cs="Arial"/>
                <w:sz w:val="24"/>
                <w:szCs w:val="24"/>
              </w:rPr>
            </w:pPr>
            <w:r>
              <w:rPr>
                <w:rFonts w:ascii="Arial" w:hAnsi="Arial" w:cs="Arial"/>
                <w:sz w:val="24"/>
                <w:szCs w:val="24"/>
              </w:rPr>
              <w:t>T</w:t>
            </w:r>
            <w:r w:rsidRPr="001F1448">
              <w:rPr>
                <w:rFonts w:ascii="Arial" w:hAnsi="Arial" w:cs="Arial"/>
                <w:sz w:val="24"/>
                <w:szCs w:val="24"/>
              </w:rPr>
              <w:t xml:space="preserve">he sharing is a legal requirement to protect vulnerable children or adults, therefore for the purposes of safeguarding children and vulnerable adults, Articles 6 and 9 apply: </w:t>
            </w:r>
          </w:p>
          <w:p w14:paraId="13D63F27" w14:textId="77777777" w:rsidR="001F1448" w:rsidRDefault="001F1448" w:rsidP="001F1448">
            <w:pPr>
              <w:rPr>
                <w:rFonts w:ascii="Arial" w:hAnsi="Arial" w:cs="Arial"/>
                <w:sz w:val="24"/>
                <w:szCs w:val="24"/>
              </w:rPr>
            </w:pPr>
          </w:p>
          <w:p w14:paraId="1D4170AB" w14:textId="77777777" w:rsidR="001F1448" w:rsidRDefault="001F1448" w:rsidP="001F1448">
            <w:pPr>
              <w:rPr>
                <w:rFonts w:ascii="Arial" w:hAnsi="Arial" w:cs="Arial"/>
                <w:sz w:val="24"/>
                <w:szCs w:val="24"/>
              </w:rPr>
            </w:pPr>
            <w:r w:rsidRPr="001F1448">
              <w:rPr>
                <w:rFonts w:ascii="Arial" w:hAnsi="Arial" w:cs="Arial"/>
                <w:sz w:val="24"/>
                <w:szCs w:val="24"/>
              </w:rPr>
              <w:t xml:space="preserve">For consented processing; </w:t>
            </w:r>
          </w:p>
          <w:p w14:paraId="728C1E1E" w14:textId="77777777" w:rsidR="001F1448" w:rsidRDefault="001F1448" w:rsidP="001F1448">
            <w:pPr>
              <w:rPr>
                <w:rFonts w:ascii="Arial" w:hAnsi="Arial" w:cs="Arial"/>
                <w:sz w:val="24"/>
                <w:szCs w:val="24"/>
              </w:rPr>
            </w:pPr>
          </w:p>
          <w:p w14:paraId="046C687A" w14:textId="77777777" w:rsidR="001F1448" w:rsidRPr="001F1448" w:rsidRDefault="001F1448" w:rsidP="001F1448">
            <w:pPr>
              <w:rPr>
                <w:rFonts w:ascii="Arial" w:hAnsi="Arial" w:cs="Arial"/>
                <w:i/>
                <w:iCs/>
                <w:sz w:val="24"/>
                <w:szCs w:val="24"/>
              </w:rPr>
            </w:pPr>
            <w:r w:rsidRPr="001F1448">
              <w:rPr>
                <w:rFonts w:ascii="Arial" w:hAnsi="Arial" w:cs="Arial"/>
                <w:i/>
                <w:iCs/>
                <w:sz w:val="24"/>
                <w:szCs w:val="24"/>
              </w:rPr>
              <w:t xml:space="preserve">6(1)(a) the data subject has given consent to the processing of his or her personal data for one or more specific purposes </w:t>
            </w:r>
          </w:p>
          <w:p w14:paraId="4DF0C24C" w14:textId="77777777" w:rsidR="001F1448" w:rsidRDefault="001F1448" w:rsidP="001F1448">
            <w:pPr>
              <w:rPr>
                <w:rFonts w:ascii="Arial" w:hAnsi="Arial" w:cs="Arial"/>
                <w:sz w:val="24"/>
                <w:szCs w:val="24"/>
              </w:rPr>
            </w:pPr>
          </w:p>
          <w:p w14:paraId="285ABD5F" w14:textId="77777777" w:rsidR="001F1448" w:rsidRDefault="001F1448" w:rsidP="001F1448">
            <w:pPr>
              <w:rPr>
                <w:rFonts w:ascii="Arial" w:hAnsi="Arial" w:cs="Arial"/>
                <w:sz w:val="24"/>
                <w:szCs w:val="24"/>
              </w:rPr>
            </w:pPr>
            <w:r w:rsidRPr="001F1448">
              <w:rPr>
                <w:rFonts w:ascii="Arial" w:hAnsi="Arial" w:cs="Arial"/>
                <w:sz w:val="24"/>
                <w:szCs w:val="24"/>
              </w:rPr>
              <w:t xml:space="preserve">For unconsented processing; </w:t>
            </w:r>
          </w:p>
          <w:p w14:paraId="3C1F9E3C" w14:textId="77777777" w:rsidR="001F1448" w:rsidRPr="001F1448" w:rsidRDefault="001F1448" w:rsidP="001F1448">
            <w:pPr>
              <w:rPr>
                <w:rFonts w:ascii="Arial" w:hAnsi="Arial" w:cs="Arial"/>
                <w:i/>
                <w:iCs/>
                <w:sz w:val="24"/>
                <w:szCs w:val="24"/>
              </w:rPr>
            </w:pPr>
            <w:r w:rsidRPr="001F1448">
              <w:rPr>
                <w:rFonts w:ascii="Arial" w:hAnsi="Arial" w:cs="Arial"/>
                <w:i/>
                <w:iCs/>
                <w:sz w:val="24"/>
                <w:szCs w:val="24"/>
              </w:rPr>
              <w:t xml:space="preserve">6(1)(c) processing is necessary for compliance with a legal obligation to which the controller is subject Privacy Notice - Safeguarding </w:t>
            </w:r>
          </w:p>
          <w:p w14:paraId="24062A88" w14:textId="77777777" w:rsidR="001F1448" w:rsidRDefault="001F1448" w:rsidP="001F1448">
            <w:pPr>
              <w:rPr>
                <w:rFonts w:ascii="Arial" w:hAnsi="Arial" w:cs="Arial"/>
                <w:sz w:val="24"/>
                <w:szCs w:val="24"/>
              </w:rPr>
            </w:pPr>
          </w:p>
          <w:p w14:paraId="1B9A68DE" w14:textId="77777777" w:rsidR="001F1448" w:rsidRDefault="001F1448" w:rsidP="001F1448">
            <w:pPr>
              <w:rPr>
                <w:rFonts w:ascii="Arial" w:hAnsi="Arial" w:cs="Arial"/>
                <w:sz w:val="24"/>
                <w:szCs w:val="24"/>
              </w:rPr>
            </w:pPr>
            <w:r w:rsidRPr="001F1448">
              <w:rPr>
                <w:rFonts w:ascii="Arial" w:hAnsi="Arial" w:cs="Arial"/>
                <w:sz w:val="24"/>
                <w:szCs w:val="24"/>
              </w:rPr>
              <w:t xml:space="preserve">and: </w:t>
            </w:r>
          </w:p>
          <w:p w14:paraId="0DB5CEBD" w14:textId="77777777" w:rsidR="001F1448" w:rsidRDefault="001F1448" w:rsidP="001F1448">
            <w:pPr>
              <w:rPr>
                <w:rFonts w:ascii="Arial" w:hAnsi="Arial" w:cs="Arial"/>
                <w:sz w:val="24"/>
                <w:szCs w:val="24"/>
              </w:rPr>
            </w:pPr>
          </w:p>
          <w:p w14:paraId="12C8E415" w14:textId="77777777" w:rsidR="001F1448" w:rsidRPr="001F1448" w:rsidRDefault="001F1448" w:rsidP="001F1448">
            <w:pPr>
              <w:rPr>
                <w:rFonts w:ascii="Arial" w:hAnsi="Arial" w:cs="Arial"/>
                <w:i/>
                <w:iCs/>
                <w:sz w:val="24"/>
                <w:szCs w:val="24"/>
              </w:rPr>
            </w:pPr>
            <w:r w:rsidRPr="001F1448">
              <w:rPr>
                <w:rFonts w:ascii="Arial" w:hAnsi="Arial" w:cs="Arial"/>
                <w:i/>
                <w:iCs/>
                <w:sz w:val="24"/>
                <w:szCs w:val="24"/>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3FE2AEAE" w14:textId="77777777" w:rsidR="001F1448" w:rsidRDefault="001F1448" w:rsidP="001F1448">
            <w:pPr>
              <w:rPr>
                <w:rFonts w:ascii="Arial" w:hAnsi="Arial" w:cs="Arial"/>
                <w:sz w:val="24"/>
                <w:szCs w:val="24"/>
              </w:rPr>
            </w:pPr>
          </w:p>
          <w:p w14:paraId="765413C3" w14:textId="77777777" w:rsidR="001F1448" w:rsidRDefault="001F1448" w:rsidP="001F1448">
            <w:pPr>
              <w:rPr>
                <w:rFonts w:ascii="Arial" w:hAnsi="Arial" w:cs="Arial"/>
                <w:sz w:val="24"/>
                <w:szCs w:val="24"/>
              </w:rPr>
            </w:pPr>
            <w:r w:rsidRPr="001F1448">
              <w:rPr>
                <w:rFonts w:ascii="Arial" w:hAnsi="Arial" w:cs="Arial"/>
                <w:sz w:val="24"/>
                <w:szCs w:val="24"/>
              </w:rPr>
              <w:t xml:space="preserve">We will consider your rights established under UK case law collectively known as the “Common Law Duty of Confidentiality”* </w:t>
            </w:r>
          </w:p>
          <w:p w14:paraId="5A40A4A5" w14:textId="5C05336C" w:rsidR="00E5445E" w:rsidRPr="002B60B4" w:rsidRDefault="00E5445E" w:rsidP="004F7429">
            <w:pPr>
              <w:rPr>
                <w:rFonts w:ascii="Arial" w:hAnsi="Arial" w:cs="Arial"/>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05E27A69" w14:textId="77777777" w:rsidR="001F1448" w:rsidRDefault="001F1448" w:rsidP="004F7429">
            <w:pPr>
              <w:rPr>
                <w:rFonts w:ascii="Arial" w:hAnsi="Arial" w:cs="Arial"/>
                <w:color w:val="000000"/>
                <w:sz w:val="24"/>
                <w:szCs w:val="24"/>
                <w:lang w:eastAsia="en-GB"/>
              </w:rPr>
            </w:pPr>
            <w:r>
              <w:rPr>
                <w:rFonts w:ascii="Arial" w:hAnsi="Arial" w:cs="Arial"/>
                <w:color w:val="000000"/>
                <w:sz w:val="24"/>
                <w:szCs w:val="24"/>
                <w:lang w:eastAsia="en-GB"/>
              </w:rPr>
              <w:t>T</w:t>
            </w:r>
            <w:r w:rsidRPr="001F1448">
              <w:rPr>
                <w:rFonts w:ascii="Arial" w:hAnsi="Arial" w:cs="Arial"/>
                <w:color w:val="000000"/>
                <w:sz w:val="24"/>
                <w:szCs w:val="24"/>
                <w:lang w:eastAsia="en-GB"/>
              </w:rPr>
              <w:t xml:space="preserve">he data will be shared with: </w:t>
            </w:r>
          </w:p>
          <w:p w14:paraId="03C8BA1B" w14:textId="77777777" w:rsidR="001F1448" w:rsidRDefault="001F1448" w:rsidP="004F7429">
            <w:pPr>
              <w:rPr>
                <w:rFonts w:ascii="Arial" w:hAnsi="Arial" w:cs="Arial"/>
                <w:color w:val="000000"/>
                <w:sz w:val="24"/>
                <w:szCs w:val="24"/>
                <w:lang w:eastAsia="en-GB"/>
              </w:rPr>
            </w:pPr>
            <w:r w:rsidRPr="001F1448">
              <w:rPr>
                <w:rFonts w:ascii="Arial" w:hAnsi="Arial" w:cs="Arial"/>
                <w:color w:val="000000"/>
                <w:sz w:val="24"/>
                <w:szCs w:val="24"/>
                <w:lang w:eastAsia="en-GB"/>
              </w:rPr>
              <w:sym w:font="Symbol" w:char="F0B7"/>
            </w:r>
            <w:r w:rsidRPr="001F1448">
              <w:rPr>
                <w:rFonts w:ascii="Arial" w:hAnsi="Arial" w:cs="Arial"/>
                <w:color w:val="000000"/>
                <w:sz w:val="24"/>
                <w:szCs w:val="24"/>
                <w:lang w:eastAsia="en-GB"/>
              </w:rPr>
              <w:t xml:space="preserve"> County Durham Safeguarding Adults Inter-Agency Partnership </w:t>
            </w:r>
          </w:p>
          <w:p w14:paraId="5A6AE699" w14:textId="77777777" w:rsidR="00440ECD" w:rsidRDefault="001F1448" w:rsidP="004F7429">
            <w:pPr>
              <w:rPr>
                <w:rFonts w:ascii="Arial" w:hAnsi="Arial" w:cs="Arial"/>
                <w:color w:val="000000"/>
                <w:sz w:val="24"/>
                <w:szCs w:val="24"/>
                <w:lang w:eastAsia="en-GB"/>
              </w:rPr>
            </w:pPr>
            <w:r w:rsidRPr="001F1448">
              <w:rPr>
                <w:rFonts w:ascii="Arial" w:hAnsi="Arial" w:cs="Arial"/>
                <w:color w:val="000000"/>
                <w:sz w:val="24"/>
                <w:szCs w:val="24"/>
                <w:lang w:eastAsia="en-GB"/>
              </w:rPr>
              <w:sym w:font="Symbol" w:char="F0B7"/>
            </w:r>
            <w:r w:rsidRPr="001F1448">
              <w:rPr>
                <w:rFonts w:ascii="Arial" w:hAnsi="Arial" w:cs="Arial"/>
                <w:color w:val="000000"/>
                <w:sz w:val="24"/>
                <w:szCs w:val="24"/>
                <w:lang w:eastAsia="en-GB"/>
              </w:rPr>
              <w:t xml:space="preserve"> Durham Local Safeguarding Children Board</w:t>
            </w:r>
          </w:p>
          <w:p w14:paraId="57D8CBB4" w14:textId="5C7EB3E8" w:rsidR="001F1448" w:rsidRPr="002B60B4" w:rsidRDefault="001F1448" w:rsidP="004F7429">
            <w:pPr>
              <w:rPr>
                <w:rFonts w:ascii="Arial" w:hAnsi="Arial" w:cs="Arial"/>
                <w:sz w:val="24"/>
                <w:szCs w:val="24"/>
              </w:rPr>
            </w:pP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4A4E83AE" w14:textId="77777777" w:rsidR="001F1448" w:rsidRDefault="001F1448" w:rsidP="004F7429">
            <w:pPr>
              <w:rPr>
                <w:rFonts w:ascii="Arial" w:hAnsi="Arial" w:cs="Arial"/>
                <w:sz w:val="24"/>
                <w:szCs w:val="24"/>
              </w:rPr>
            </w:pPr>
            <w:r w:rsidRPr="001F1448">
              <w:rPr>
                <w:rFonts w:ascii="Arial" w:hAnsi="Arial" w:cs="Arial"/>
                <w:sz w:val="24"/>
                <w:szCs w:val="24"/>
              </w:rPr>
              <w:t xml:space="preserve">This sharing is a legal and professional requirement and therefore there is no right to object. </w:t>
            </w:r>
          </w:p>
          <w:p w14:paraId="496F4765" w14:textId="77777777" w:rsidR="001F1448" w:rsidRDefault="001F1448" w:rsidP="004F7429">
            <w:pPr>
              <w:rPr>
                <w:rFonts w:ascii="Arial" w:hAnsi="Arial" w:cs="Arial"/>
                <w:sz w:val="24"/>
                <w:szCs w:val="24"/>
              </w:rPr>
            </w:pPr>
          </w:p>
          <w:p w14:paraId="4A372D83" w14:textId="77777777" w:rsidR="001F1448" w:rsidRDefault="001F1448" w:rsidP="004F7429">
            <w:pPr>
              <w:rPr>
                <w:rFonts w:ascii="Arial" w:hAnsi="Arial" w:cs="Arial"/>
                <w:sz w:val="24"/>
                <w:szCs w:val="24"/>
              </w:rPr>
            </w:pPr>
            <w:r w:rsidRPr="001F1448">
              <w:rPr>
                <w:rFonts w:ascii="Arial" w:hAnsi="Arial" w:cs="Arial"/>
                <w:sz w:val="24"/>
                <w:szCs w:val="24"/>
              </w:rPr>
              <w:t xml:space="preserve">There is also General Medical Council (GMC) guidance: </w:t>
            </w:r>
            <w:hyperlink r:id="rId16" w:history="1">
              <w:r w:rsidRPr="006C00DD">
                <w:rPr>
                  <w:rStyle w:val="Hyperlink"/>
                  <w:rFonts w:ascii="Arial" w:hAnsi="Arial" w:cs="Arial"/>
                  <w:sz w:val="24"/>
                  <w:szCs w:val="24"/>
                </w:rPr>
                <w:t>https://www.gmc-uk.org/guidance/ethical_guidance/children_guidance_56_63_child_protection.asp</w:t>
              </w:r>
            </w:hyperlink>
            <w:r>
              <w:rPr>
                <w:rFonts w:ascii="Arial" w:hAnsi="Arial" w:cs="Arial"/>
                <w:sz w:val="24"/>
                <w:szCs w:val="24"/>
              </w:rPr>
              <w:t xml:space="preserve"> </w:t>
            </w:r>
          </w:p>
          <w:p w14:paraId="7B4FEFC6" w14:textId="3DCF0673" w:rsidR="00E5445E" w:rsidRPr="001F1448" w:rsidRDefault="001F1448" w:rsidP="004F7429">
            <w:pPr>
              <w:rPr>
                <w:rFonts w:ascii="Arial" w:hAnsi="Arial" w:cs="Arial"/>
                <w:sz w:val="24"/>
                <w:szCs w:val="24"/>
              </w:rPr>
            </w:pPr>
            <w:r>
              <w:rPr>
                <w:rFonts w:ascii="Arial" w:hAnsi="Arial" w:cs="Arial"/>
                <w:sz w:val="24"/>
                <w:szCs w:val="24"/>
              </w:rPr>
              <w:t xml:space="preserve"> </w:t>
            </w: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0C913563" w14:textId="77777777" w:rsidR="005A7FC7" w:rsidRDefault="001F1448" w:rsidP="002B60B4">
            <w:pPr>
              <w:spacing w:line="252" w:lineRule="auto"/>
              <w:contextualSpacing/>
              <w:rPr>
                <w:rFonts w:ascii="Arial" w:hAnsi="Arial" w:cs="Arial"/>
                <w:sz w:val="24"/>
                <w:szCs w:val="24"/>
              </w:rPr>
            </w:pPr>
            <w:r w:rsidRPr="001F1448">
              <w:rPr>
                <w:rFonts w:ascii="Arial" w:hAnsi="Arial" w:cs="Arial"/>
                <w:sz w:val="24"/>
                <w:szCs w:val="24"/>
              </w:rPr>
              <w:t>The Data Subject(s) or their legal representative(s) have the right to access the data that is being shared and have any inaccuracies corrected. There is no right to have accurate medical records deleted except when ordered by a court of Law</w:t>
            </w:r>
          </w:p>
          <w:p w14:paraId="0B88AD5F" w14:textId="31343B46" w:rsidR="001F1448" w:rsidRPr="001F1448" w:rsidRDefault="001F1448"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247CEDCC" w14:textId="56C08E9D" w:rsidR="00440ECD" w:rsidRPr="00E5445E" w:rsidRDefault="001F1448" w:rsidP="004F7429">
            <w:pPr>
              <w:rPr>
                <w:rFonts w:ascii="Arial" w:hAnsi="Arial" w:cs="Arial"/>
                <w:sz w:val="24"/>
                <w:szCs w:val="24"/>
              </w:rPr>
            </w:pPr>
            <w:r w:rsidRPr="001F1448">
              <w:rPr>
                <w:rFonts w:ascii="Arial" w:hAnsi="Arial" w:cs="Arial"/>
                <w:sz w:val="24"/>
                <w:szCs w:val="24"/>
              </w:rPr>
              <w:t>The data will be retained for active use during any investigation and thereafter retained in an inactive stored form according to the law and national guidance</w:t>
            </w: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Office, you can use this link </w:t>
            </w:r>
            <w:hyperlink r:id="rId17"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6A61BA3B" w14:textId="77777777" w:rsidR="002B60B4" w:rsidRPr="002B60B4" w:rsidRDefault="002B60B4" w:rsidP="00440ECD">
      <w:pPr>
        <w:rPr>
          <w:rFonts w:ascii="Arial" w:hAnsi="Arial" w:cs="Arial"/>
          <w:sz w:val="24"/>
          <w:szCs w:val="24"/>
        </w:rPr>
      </w:pPr>
      <w:r w:rsidRPr="002B60B4">
        <w:rPr>
          <w:rFonts w:ascii="Arial" w:hAnsi="Arial" w:cs="Arial"/>
          <w:sz w:val="24"/>
          <w:szCs w:val="24"/>
        </w:rPr>
        <w:lastRenderedPageBreak/>
        <w:t xml:space="preserve">“Common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4E6A6624"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The general position is that if information is given in circumstances where it is expected that a duty of confidence applies, that information cannot normally be disclosed without the information provider's consent. </w:t>
      </w:r>
    </w:p>
    <w:p w14:paraId="1FA18B34" w14:textId="13661619" w:rsidR="002B60B4" w:rsidRPr="002B60B4" w:rsidRDefault="002B60B4" w:rsidP="00440ECD">
      <w:pPr>
        <w:rPr>
          <w:rFonts w:ascii="Arial" w:hAnsi="Arial" w:cs="Arial"/>
          <w:sz w:val="24"/>
          <w:szCs w:val="24"/>
        </w:rPr>
      </w:pPr>
      <w:r w:rsidRPr="002B60B4">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14:paraId="61F60159" w14:textId="77777777" w:rsidR="002B60B4" w:rsidRPr="002B60B4" w:rsidRDefault="002B60B4" w:rsidP="00440ECD">
      <w:pPr>
        <w:rPr>
          <w:rFonts w:ascii="Arial" w:hAnsi="Arial" w:cs="Arial"/>
          <w:sz w:val="24"/>
          <w:szCs w:val="24"/>
        </w:rPr>
      </w:pPr>
      <w:r w:rsidRPr="002B60B4">
        <w:rPr>
          <w:rFonts w:ascii="Arial" w:hAnsi="Arial" w:cs="Arial"/>
          <w:sz w:val="24"/>
          <w:szCs w:val="24"/>
        </w:rPr>
        <w:t xml:space="preserve">Three common law circumstances making disclosure of confidential information lawful are: </w:t>
      </w:r>
    </w:p>
    <w:p w14:paraId="208ECC28" w14:textId="1CB974E7"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the individual to whom the information relates has consented; or </w:t>
      </w:r>
    </w:p>
    <w:p w14:paraId="69B2E0BD" w14:textId="66BC819E" w:rsidR="002B60B4"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 xml:space="preserve">where disclosure is necessary to safeguard the individual(s) or is in the public interest; or </w:t>
      </w:r>
    </w:p>
    <w:p w14:paraId="0777A87E" w14:textId="519C9DCD" w:rsidR="00440ECD" w:rsidRPr="002B60B4" w:rsidRDefault="002B60B4" w:rsidP="002B60B4">
      <w:pPr>
        <w:pStyle w:val="FPMBullet"/>
        <w:numPr>
          <w:ilvl w:val="0"/>
          <w:numId w:val="15"/>
        </w:numPr>
        <w:rPr>
          <w:rFonts w:ascii="Arial" w:hAnsi="Arial" w:cs="Arial"/>
          <w:sz w:val="24"/>
          <w:szCs w:val="24"/>
        </w:rPr>
      </w:pPr>
      <w:r w:rsidRPr="002B60B4">
        <w:rPr>
          <w:rFonts w:ascii="Arial" w:hAnsi="Arial" w:cs="Arial"/>
          <w:sz w:val="24"/>
          <w:szCs w:val="24"/>
        </w:rPr>
        <w:t>where there is a legal duty to do so, for example a court order</w:t>
      </w:r>
    </w:p>
    <w:p w14:paraId="69436429" w14:textId="77777777" w:rsidR="00B750C7" w:rsidRDefault="00B750C7"/>
    <w:sectPr w:rsidR="00B750C7" w:rsidSect="007515D6">
      <w:headerReference w:type="even" r:id="rId18"/>
      <w:headerReference w:type="default" r:id="rId19"/>
      <w:footerReference w:type="even" r:id="rId20"/>
      <w:headerReference w:type="first" r:id="rId21"/>
      <w:footerReference w:type="first" r:id="rId22"/>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848BF"/>
    <w:rsid w:val="00290E98"/>
    <w:rsid w:val="002B60B4"/>
    <w:rsid w:val="002C1971"/>
    <w:rsid w:val="00353043"/>
    <w:rsid w:val="003574CA"/>
    <w:rsid w:val="0036638F"/>
    <w:rsid w:val="00382493"/>
    <w:rsid w:val="003A4A88"/>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F5EDA"/>
    <w:rsid w:val="00700E6C"/>
    <w:rsid w:val="0072284E"/>
    <w:rsid w:val="007515D6"/>
    <w:rsid w:val="00782A2C"/>
    <w:rsid w:val="00796F8B"/>
    <w:rsid w:val="007D09EB"/>
    <w:rsid w:val="007D5C36"/>
    <w:rsid w:val="008107C7"/>
    <w:rsid w:val="008404E2"/>
    <w:rsid w:val="00853BB4"/>
    <w:rsid w:val="00901CD3"/>
    <w:rsid w:val="00921BF5"/>
    <w:rsid w:val="00945942"/>
    <w:rsid w:val="009724AE"/>
    <w:rsid w:val="00976E47"/>
    <w:rsid w:val="009A2878"/>
    <w:rsid w:val="009D2F2F"/>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5445E"/>
    <w:rsid w:val="00E70864"/>
    <w:rsid w:val="00EA57ED"/>
    <w:rsid w:val="00F322C6"/>
    <w:rsid w:val="00F6630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1989/41/section/1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legislation.gov.uk/ukpga/2014/23/section/45/enacted"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www.gmc-uk.org/guidance/ethical_guidance/children_guidance_56_63_child_protection.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8/29/section/2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23" Type="http://schemas.openxmlformats.org/officeDocument/2006/relationships/fontTable" Target="fontTable.xml"/><Relationship Id="rId10" Type="http://schemas.openxmlformats.org/officeDocument/2006/relationships/hyperlink" Target="https://www.legislation.gov.uk/ukpga/1989/41/section/47"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beedham@nhs,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3</cp:revision>
  <dcterms:created xsi:type="dcterms:W3CDTF">2025-10-10T13:19:00Z</dcterms:created>
  <dcterms:modified xsi:type="dcterms:W3CDTF">2025-10-14T08:58:00Z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